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B61CD" w14:textId="77777777" w:rsidR="005F6C8E" w:rsidRPr="005F6C8E" w:rsidRDefault="005F6C8E" w:rsidP="005F6C8E">
      <w:pPr>
        <w:widowControl/>
        <w:spacing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</w:pPr>
      <w:r w:rsidRPr="005F6C8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en-US"/>
        </w:rPr>
        <w:t xml:space="preserve">Supplementary Table 1. </w:t>
      </w:r>
      <w:r w:rsidRPr="005F6C8E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 xml:space="preserve">Functional summaries and Gene Ontology (GO) annotations of candidate genes within ROH and HRR islands in </w:t>
      </w:r>
      <w:proofErr w:type="spellStart"/>
      <w:r w:rsidRPr="005F6C8E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Marota</w:t>
      </w:r>
      <w:proofErr w:type="spellEnd"/>
      <w:r w:rsidRPr="005F6C8E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 xml:space="preserve"> and Anglo-Nubian goats. Columns include gene symbol, verified NCBI Gene ID (Capra </w:t>
      </w:r>
      <w:proofErr w:type="spellStart"/>
      <w:r w:rsidRPr="005F6C8E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hircus</w:t>
      </w:r>
      <w:proofErr w:type="spellEnd"/>
      <w:r w:rsidRPr="005F6C8E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), functional summary, GO categories (BP, MF, CC), and references.</w:t>
      </w:r>
    </w:p>
    <w:p w14:paraId="5A6E0380" w14:textId="77777777" w:rsidR="007A7152" w:rsidRDefault="007A7152">
      <w:pPr>
        <w:rPr>
          <w:lang w:val="en-US"/>
        </w:rPr>
      </w:pPr>
    </w:p>
    <w:tbl>
      <w:tblPr>
        <w:tblStyle w:val="af"/>
        <w:tblW w:w="1488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701"/>
        <w:gridCol w:w="1559"/>
        <w:gridCol w:w="3544"/>
        <w:gridCol w:w="2977"/>
        <w:gridCol w:w="1984"/>
        <w:gridCol w:w="1843"/>
      </w:tblGrid>
      <w:tr w:rsidR="005F6C8E" w14:paraId="51045AE6" w14:textId="77777777" w:rsidTr="003E1FF2"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DD81" w14:textId="7BA3DB81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Gene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41FC" w14:textId="3340D76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Gene Name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02CA" w14:textId="126F82EE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NCBI Gene ID (Capra hircus)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2D998" w14:textId="3D6B20E9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Functional summary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9F1E" w14:textId="5719013D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GO: Biological Process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2854" w14:textId="3E97859A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GO: Molecular Function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ADD9B" w14:textId="05E681D1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GO: Cellular Component</w:t>
            </w:r>
          </w:p>
        </w:tc>
      </w:tr>
      <w:tr w:rsidR="005F6C8E" w14:paraId="42427A54" w14:textId="77777777" w:rsidTr="003E1FF2"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F20105C" w14:textId="5828D6A7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NCAM1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C2054FD" w14:textId="59948F1D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neural cell adhesion molecule 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695741" w14:textId="50D7DB90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102177818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074567CE" w14:textId="51DA6D66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Neural cell adhesion molecule; plasticity and environmental adaptation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0CAC01D0" w14:textId="4A406D15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GO:0007155 (central nervous system development and cell adhesion)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3DCE2FFA" w14:textId="55ED3FF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GO:0005515 (cell adhesion molecule binding)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135221" w14:textId="770EED43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GO:0016020 (plasma membrane)</w:t>
            </w:r>
          </w:p>
        </w:tc>
      </w:tr>
      <w:tr w:rsidR="005F6C8E" w14:paraId="1DE22EB1" w14:textId="77777777" w:rsidTr="003E1FF2">
        <w:tc>
          <w:tcPr>
            <w:tcW w:w="1277" w:type="dxa"/>
            <w:vAlign w:val="center"/>
          </w:tcPr>
          <w:p w14:paraId="0B5BC727" w14:textId="31BFA900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DRD2</w:t>
            </w:r>
          </w:p>
        </w:tc>
        <w:tc>
          <w:tcPr>
            <w:tcW w:w="1701" w:type="dxa"/>
            <w:vAlign w:val="center"/>
          </w:tcPr>
          <w:p w14:paraId="5AF3E674" w14:textId="33433FAD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dopamine receptor D2</w:t>
            </w:r>
          </w:p>
        </w:tc>
        <w:tc>
          <w:tcPr>
            <w:tcW w:w="1559" w:type="dxa"/>
            <w:vAlign w:val="center"/>
          </w:tcPr>
          <w:p w14:paraId="59DCCE53" w14:textId="77873C4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102177355</w:t>
            </w:r>
          </w:p>
        </w:tc>
        <w:tc>
          <w:tcPr>
            <w:tcW w:w="3544" w:type="dxa"/>
            <w:vAlign w:val="center"/>
          </w:tcPr>
          <w:p w14:paraId="06E42C5C" w14:textId="43A3CB5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Dopamine receptor; behavior and adaptive response</w:t>
            </w:r>
          </w:p>
        </w:tc>
        <w:tc>
          <w:tcPr>
            <w:tcW w:w="2977" w:type="dxa"/>
            <w:vAlign w:val="center"/>
          </w:tcPr>
          <w:p w14:paraId="7A866F9A" w14:textId="4CE64321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GO:0042734(adenylate cyclase-activating adrenergic receptor signaling </w:t>
            </w:r>
            <w:proofErr w:type="spellStart"/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pathwayr</w:t>
            </w:r>
            <w:proofErr w:type="spellEnd"/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14:paraId="12747144" w14:textId="09BC74A0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GO:0004930 (dopamine receptor activity)</w:t>
            </w:r>
          </w:p>
        </w:tc>
        <w:tc>
          <w:tcPr>
            <w:tcW w:w="1843" w:type="dxa"/>
            <w:vAlign w:val="center"/>
          </w:tcPr>
          <w:p w14:paraId="1829FD2C" w14:textId="12B12857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GO:0016021 (presynaptic membrane)</w:t>
            </w:r>
          </w:p>
        </w:tc>
      </w:tr>
      <w:tr w:rsidR="005F6C8E" w14:paraId="4F449459" w14:textId="77777777" w:rsidTr="003E1FF2">
        <w:tc>
          <w:tcPr>
            <w:tcW w:w="1277" w:type="dxa"/>
            <w:vAlign w:val="center"/>
          </w:tcPr>
          <w:p w14:paraId="09260E80" w14:textId="20C320CC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IL18</w:t>
            </w:r>
          </w:p>
        </w:tc>
        <w:tc>
          <w:tcPr>
            <w:tcW w:w="1701" w:type="dxa"/>
            <w:vAlign w:val="center"/>
          </w:tcPr>
          <w:p w14:paraId="140701F2" w14:textId="35EE982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interleukin 18</w:t>
            </w:r>
          </w:p>
        </w:tc>
        <w:tc>
          <w:tcPr>
            <w:tcW w:w="1559" w:type="dxa"/>
            <w:vAlign w:val="center"/>
          </w:tcPr>
          <w:p w14:paraId="6BE2524A" w14:textId="1A209AD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100861190</w:t>
            </w:r>
          </w:p>
        </w:tc>
        <w:tc>
          <w:tcPr>
            <w:tcW w:w="3544" w:type="dxa"/>
            <w:vAlign w:val="center"/>
          </w:tcPr>
          <w:p w14:paraId="647BD59F" w14:textId="7DBC373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Pro-inflammatory cytokine; immune response</w:t>
            </w:r>
          </w:p>
        </w:tc>
        <w:tc>
          <w:tcPr>
            <w:tcW w:w="2977" w:type="dxa"/>
            <w:vAlign w:val="center"/>
          </w:tcPr>
          <w:p w14:paraId="7DBF0E99" w14:textId="38AA2407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GO:0006954 (inflammatory response); GO:0006955(immune response)</w:t>
            </w:r>
          </w:p>
        </w:tc>
        <w:tc>
          <w:tcPr>
            <w:tcW w:w="1984" w:type="dxa"/>
            <w:vAlign w:val="center"/>
          </w:tcPr>
          <w:p w14:paraId="259FFB9E" w14:textId="1DD2DBF1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GO:00056155 (cytokine activity)</w:t>
            </w:r>
          </w:p>
        </w:tc>
        <w:tc>
          <w:tcPr>
            <w:tcW w:w="1843" w:type="dxa"/>
            <w:vAlign w:val="center"/>
          </w:tcPr>
          <w:p w14:paraId="0584B5F1" w14:textId="316554F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GO:0005615 (extracellular space)</w:t>
            </w:r>
          </w:p>
        </w:tc>
      </w:tr>
      <w:tr w:rsidR="005F6C8E" w14:paraId="340F56A3" w14:textId="77777777" w:rsidTr="003E1FF2">
        <w:tc>
          <w:tcPr>
            <w:tcW w:w="1277" w:type="dxa"/>
            <w:vAlign w:val="center"/>
          </w:tcPr>
          <w:p w14:paraId="14FC0435" w14:textId="78CDE3A2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TEX12</w:t>
            </w:r>
          </w:p>
        </w:tc>
        <w:tc>
          <w:tcPr>
            <w:tcW w:w="1701" w:type="dxa"/>
            <w:vAlign w:val="center"/>
          </w:tcPr>
          <w:p w14:paraId="233A31FC" w14:textId="1D4FF4E0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testis expressed 12</w:t>
            </w:r>
          </w:p>
        </w:tc>
        <w:tc>
          <w:tcPr>
            <w:tcW w:w="1559" w:type="dxa"/>
            <w:vAlign w:val="center"/>
          </w:tcPr>
          <w:p w14:paraId="0A9C4407" w14:textId="6FE1916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102175875</w:t>
            </w:r>
          </w:p>
        </w:tc>
        <w:tc>
          <w:tcPr>
            <w:tcW w:w="3544" w:type="dxa"/>
            <w:vAlign w:val="center"/>
          </w:tcPr>
          <w:p w14:paraId="27EA6BDA" w14:textId="389F5A27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Meiotic protein; essential for chromosomal synapsis and fertility</w:t>
            </w:r>
          </w:p>
        </w:tc>
        <w:tc>
          <w:tcPr>
            <w:tcW w:w="2977" w:type="dxa"/>
            <w:vAlign w:val="center"/>
          </w:tcPr>
          <w:p w14:paraId="67386395" w14:textId="7234EE9E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GO:0007130 (synaptonemal complex assembly)</w:t>
            </w:r>
          </w:p>
        </w:tc>
        <w:tc>
          <w:tcPr>
            <w:tcW w:w="1984" w:type="dxa"/>
            <w:vAlign w:val="center"/>
          </w:tcPr>
          <w:p w14:paraId="79513FB7" w14:textId="3D4C80C5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GO:0000801 (central element)</w:t>
            </w:r>
          </w:p>
        </w:tc>
        <w:tc>
          <w:tcPr>
            <w:tcW w:w="1843" w:type="dxa"/>
            <w:vAlign w:val="center"/>
          </w:tcPr>
          <w:p w14:paraId="3D064199" w14:textId="17796CE3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GO:0000795 (synaptonemal complex)</w:t>
            </w:r>
          </w:p>
        </w:tc>
      </w:tr>
      <w:tr w:rsidR="005F6C8E" w14:paraId="7FC7C0D3" w14:textId="77777777" w:rsidTr="003E1FF2">
        <w:tc>
          <w:tcPr>
            <w:tcW w:w="1277" w:type="dxa"/>
            <w:vAlign w:val="center"/>
          </w:tcPr>
          <w:p w14:paraId="4B7B6CB4" w14:textId="0DA2C088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FOSL2</w:t>
            </w:r>
          </w:p>
        </w:tc>
        <w:tc>
          <w:tcPr>
            <w:tcW w:w="1701" w:type="dxa"/>
            <w:vAlign w:val="center"/>
          </w:tcPr>
          <w:p w14:paraId="590605CA" w14:textId="1F71EDA6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FOS like 2, AP-1 transcription factor subunit</w:t>
            </w:r>
          </w:p>
        </w:tc>
        <w:tc>
          <w:tcPr>
            <w:tcW w:w="1559" w:type="dxa"/>
            <w:vAlign w:val="center"/>
          </w:tcPr>
          <w:p w14:paraId="5718EC66" w14:textId="3B94386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102171522</w:t>
            </w:r>
          </w:p>
        </w:tc>
        <w:tc>
          <w:tcPr>
            <w:tcW w:w="3544" w:type="dxa"/>
            <w:vAlign w:val="center"/>
          </w:tcPr>
          <w:p w14:paraId="7231F2F9" w14:textId="545258E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AP-1 transcription factor; regulates metabolism, stress, and cell differentiation</w:t>
            </w:r>
          </w:p>
        </w:tc>
        <w:tc>
          <w:tcPr>
            <w:tcW w:w="2977" w:type="dxa"/>
            <w:vAlign w:val="center"/>
          </w:tcPr>
          <w:p w14:paraId="01432635" w14:textId="73B30793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GO:0006357 (response to oxidative stress and regulation of transcription by RNA polymerase II)</w:t>
            </w:r>
          </w:p>
        </w:tc>
        <w:tc>
          <w:tcPr>
            <w:tcW w:w="1984" w:type="dxa"/>
            <w:vAlign w:val="center"/>
          </w:tcPr>
          <w:p w14:paraId="081D7A87" w14:textId="24A5886F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GO:0000981 (DNA-binding transcription factor activity and </w:t>
            </w:r>
            <w:bookmarkStart w:id="0" w:name="_GoBack"/>
            <w:bookmarkEnd w:id="0"/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RNA polymerase II-specific)</w:t>
            </w:r>
          </w:p>
        </w:tc>
        <w:tc>
          <w:tcPr>
            <w:tcW w:w="1843" w:type="dxa"/>
            <w:vAlign w:val="center"/>
          </w:tcPr>
          <w:p w14:paraId="6DF23427" w14:textId="2852FC2F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GO:0005634 (nucleus)</w:t>
            </w:r>
          </w:p>
        </w:tc>
      </w:tr>
      <w:tr w:rsidR="005F6C8E" w14:paraId="342FA3A8" w14:textId="77777777" w:rsidTr="003E1FF2">
        <w:tc>
          <w:tcPr>
            <w:tcW w:w="1277" w:type="dxa"/>
            <w:vAlign w:val="center"/>
          </w:tcPr>
          <w:p w14:paraId="4235D4DF" w14:textId="37C0CC7E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CAPN14</w:t>
            </w:r>
          </w:p>
        </w:tc>
        <w:tc>
          <w:tcPr>
            <w:tcW w:w="1701" w:type="dxa"/>
            <w:vAlign w:val="center"/>
          </w:tcPr>
          <w:p w14:paraId="26345777" w14:textId="70B6BC96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calpain 14</w:t>
            </w:r>
          </w:p>
        </w:tc>
        <w:tc>
          <w:tcPr>
            <w:tcW w:w="1559" w:type="dxa"/>
            <w:vAlign w:val="center"/>
          </w:tcPr>
          <w:p w14:paraId="410C2BA6" w14:textId="4045419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102191057</w:t>
            </w:r>
          </w:p>
        </w:tc>
        <w:tc>
          <w:tcPr>
            <w:tcW w:w="3544" w:type="dxa"/>
            <w:vAlign w:val="center"/>
          </w:tcPr>
          <w:p w14:paraId="0AF35AB9" w14:textId="762A0589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Calpain protease; tissue remodeling and stress adaptation</w:t>
            </w:r>
          </w:p>
        </w:tc>
        <w:tc>
          <w:tcPr>
            <w:tcW w:w="2977" w:type="dxa"/>
            <w:vAlign w:val="center"/>
          </w:tcPr>
          <w:p w14:paraId="34EC0F66" w14:textId="36368D10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GO:0006508 (proteolysis)</w:t>
            </w:r>
          </w:p>
        </w:tc>
        <w:tc>
          <w:tcPr>
            <w:tcW w:w="1984" w:type="dxa"/>
            <w:vAlign w:val="center"/>
          </w:tcPr>
          <w:p w14:paraId="5F178BA1" w14:textId="601CDF97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GO:0004198 (calcium-dependent cysteine-type endopeptidase activity)</w:t>
            </w:r>
          </w:p>
        </w:tc>
        <w:tc>
          <w:tcPr>
            <w:tcW w:w="1843" w:type="dxa"/>
            <w:vAlign w:val="center"/>
          </w:tcPr>
          <w:p w14:paraId="25547595" w14:textId="12A16800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GO:0005737 (cytoplasm)</w:t>
            </w:r>
          </w:p>
        </w:tc>
      </w:tr>
      <w:tr w:rsidR="005F6C8E" w14:paraId="2DE4EE01" w14:textId="77777777" w:rsidTr="003E1FF2">
        <w:tc>
          <w:tcPr>
            <w:tcW w:w="1277" w:type="dxa"/>
            <w:vAlign w:val="center"/>
          </w:tcPr>
          <w:p w14:paraId="22A6254C" w14:textId="7A71C241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GALNT14</w:t>
            </w:r>
          </w:p>
        </w:tc>
        <w:tc>
          <w:tcPr>
            <w:tcW w:w="1701" w:type="dxa"/>
            <w:vAlign w:val="center"/>
          </w:tcPr>
          <w:p w14:paraId="5AF1901A" w14:textId="2D6DCB0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polypeptide N-</w:t>
            </w: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acetylgalactosaminyltransferase</w:t>
            </w:r>
          </w:p>
        </w:tc>
        <w:tc>
          <w:tcPr>
            <w:tcW w:w="1559" w:type="dxa"/>
            <w:vAlign w:val="center"/>
          </w:tcPr>
          <w:p w14:paraId="003217D5" w14:textId="3BF29DE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102177250</w:t>
            </w:r>
          </w:p>
        </w:tc>
        <w:tc>
          <w:tcPr>
            <w:tcW w:w="3544" w:type="dxa"/>
            <w:vAlign w:val="center"/>
          </w:tcPr>
          <w:p w14:paraId="1CC8E673" w14:textId="452354A0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Glycosyltransferase; involved in </w:t>
            </w: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lastRenderedPageBreak/>
              <w:t>reproduction and metabolic response</w:t>
            </w:r>
          </w:p>
        </w:tc>
        <w:tc>
          <w:tcPr>
            <w:tcW w:w="2977" w:type="dxa"/>
            <w:vAlign w:val="center"/>
          </w:tcPr>
          <w:p w14:paraId="623D99BA" w14:textId="65CE5FA0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GO:0006486 (protein </w:t>
            </w: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glycosylation)</w:t>
            </w:r>
          </w:p>
        </w:tc>
        <w:tc>
          <w:tcPr>
            <w:tcW w:w="1984" w:type="dxa"/>
            <w:vAlign w:val="center"/>
          </w:tcPr>
          <w:p w14:paraId="703F5586" w14:textId="4EBA7C5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GO:0004653 </w:t>
            </w: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(polypeptide N-acetylgalactosaminyltransferase activity)</w:t>
            </w:r>
          </w:p>
        </w:tc>
        <w:tc>
          <w:tcPr>
            <w:tcW w:w="1843" w:type="dxa"/>
            <w:vAlign w:val="center"/>
          </w:tcPr>
          <w:p w14:paraId="48C0F788" w14:textId="551F8212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GO:0005794 (Golgi </w:t>
            </w: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membrane)</w:t>
            </w:r>
          </w:p>
        </w:tc>
      </w:tr>
      <w:tr w:rsidR="005F6C8E" w14:paraId="4D0CBB06" w14:textId="77777777" w:rsidTr="003E1FF2">
        <w:tc>
          <w:tcPr>
            <w:tcW w:w="1277" w:type="dxa"/>
            <w:vAlign w:val="center"/>
          </w:tcPr>
          <w:p w14:paraId="428B6EC9" w14:textId="79363890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lastRenderedPageBreak/>
              <w:t>YPEL5</w:t>
            </w:r>
          </w:p>
        </w:tc>
        <w:tc>
          <w:tcPr>
            <w:tcW w:w="1701" w:type="dxa"/>
            <w:vAlign w:val="center"/>
          </w:tcPr>
          <w:p w14:paraId="7A25E75D" w14:textId="681324E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yippee like 5</w:t>
            </w:r>
          </w:p>
        </w:tc>
        <w:tc>
          <w:tcPr>
            <w:tcW w:w="1559" w:type="dxa"/>
            <w:vAlign w:val="center"/>
          </w:tcPr>
          <w:p w14:paraId="1B29CC87" w14:textId="65A011B6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102168549</w:t>
            </w:r>
          </w:p>
        </w:tc>
        <w:tc>
          <w:tcPr>
            <w:tcW w:w="3544" w:type="dxa"/>
            <w:vAlign w:val="center"/>
          </w:tcPr>
          <w:p w14:paraId="2D9826B1" w14:textId="777261B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Cell division protein; stress response and cellular regulation</w:t>
            </w:r>
          </w:p>
        </w:tc>
        <w:tc>
          <w:tcPr>
            <w:tcW w:w="2977" w:type="dxa"/>
            <w:vAlign w:val="center"/>
          </w:tcPr>
          <w:p w14:paraId="4111315D" w14:textId="39375B89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GO:0007049 (cell cycle)</w:t>
            </w:r>
          </w:p>
        </w:tc>
        <w:tc>
          <w:tcPr>
            <w:tcW w:w="1984" w:type="dxa"/>
            <w:vAlign w:val="center"/>
          </w:tcPr>
          <w:p w14:paraId="4B9F8730" w14:textId="634129A9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GO:0005515 (protein binding)</w:t>
            </w:r>
          </w:p>
        </w:tc>
        <w:tc>
          <w:tcPr>
            <w:tcW w:w="1843" w:type="dxa"/>
            <w:vAlign w:val="center"/>
          </w:tcPr>
          <w:p w14:paraId="42122470" w14:textId="34CDBD9D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GO:0005737 (cytoplasm)</w:t>
            </w:r>
          </w:p>
        </w:tc>
      </w:tr>
      <w:tr w:rsidR="005F6C8E" w14:paraId="576CFFFE" w14:textId="77777777" w:rsidTr="003E1FF2">
        <w:tc>
          <w:tcPr>
            <w:tcW w:w="1277" w:type="dxa"/>
            <w:vAlign w:val="center"/>
          </w:tcPr>
          <w:p w14:paraId="7C6FA2F4" w14:textId="3024DD61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MSI2</w:t>
            </w:r>
          </w:p>
        </w:tc>
        <w:tc>
          <w:tcPr>
            <w:tcW w:w="1701" w:type="dxa"/>
            <w:vAlign w:val="center"/>
          </w:tcPr>
          <w:p w14:paraId="61CB594F" w14:textId="417BD629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musashi RNA binding protein 2</w:t>
            </w:r>
          </w:p>
        </w:tc>
        <w:tc>
          <w:tcPr>
            <w:tcW w:w="1559" w:type="dxa"/>
            <w:vAlign w:val="center"/>
          </w:tcPr>
          <w:p w14:paraId="512E107A" w14:textId="48D463CF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102185031</w:t>
            </w:r>
          </w:p>
        </w:tc>
        <w:tc>
          <w:tcPr>
            <w:tcW w:w="3544" w:type="dxa"/>
            <w:vAlign w:val="center"/>
          </w:tcPr>
          <w:p w14:paraId="6F3AFDEC" w14:textId="215EF06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(GO:0003723) RNA-binding protein; stem cell regulation and cell differentiation</w:t>
            </w:r>
          </w:p>
        </w:tc>
        <w:tc>
          <w:tcPr>
            <w:tcW w:w="2977" w:type="dxa"/>
            <w:vAlign w:val="center"/>
          </w:tcPr>
          <w:p w14:paraId="452C2C43" w14:textId="1BBF6B8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GO:0045596 (negative regulation of cell differentiation)</w:t>
            </w:r>
          </w:p>
        </w:tc>
        <w:tc>
          <w:tcPr>
            <w:tcW w:w="1984" w:type="dxa"/>
            <w:vAlign w:val="center"/>
          </w:tcPr>
          <w:p w14:paraId="4AAAE4F9" w14:textId="55E83599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GO:0003723 (RNA binding)</w:t>
            </w:r>
          </w:p>
        </w:tc>
        <w:tc>
          <w:tcPr>
            <w:tcW w:w="1843" w:type="dxa"/>
            <w:vAlign w:val="center"/>
          </w:tcPr>
          <w:p w14:paraId="191F0E1C" w14:textId="53EFF80A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GO:0005737 (cytoplasm)</w:t>
            </w:r>
          </w:p>
        </w:tc>
      </w:tr>
      <w:tr w:rsidR="005F6C8E" w14:paraId="06EFB6B6" w14:textId="77777777" w:rsidTr="003E1FF2">
        <w:tc>
          <w:tcPr>
            <w:tcW w:w="1277" w:type="dxa"/>
            <w:vAlign w:val="center"/>
          </w:tcPr>
          <w:p w14:paraId="0BA5997B" w14:textId="114DAFD4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VEZF1</w:t>
            </w:r>
          </w:p>
        </w:tc>
        <w:tc>
          <w:tcPr>
            <w:tcW w:w="1701" w:type="dxa"/>
            <w:vAlign w:val="center"/>
          </w:tcPr>
          <w:p w14:paraId="6AFDADDE" w14:textId="46D3C2BA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vascular endothelial zinc finger 1</w:t>
            </w:r>
          </w:p>
        </w:tc>
        <w:tc>
          <w:tcPr>
            <w:tcW w:w="1559" w:type="dxa"/>
            <w:vAlign w:val="center"/>
          </w:tcPr>
          <w:p w14:paraId="2104019B" w14:textId="1705DD3C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102182723</w:t>
            </w:r>
          </w:p>
        </w:tc>
        <w:tc>
          <w:tcPr>
            <w:tcW w:w="3544" w:type="dxa"/>
            <w:vAlign w:val="center"/>
          </w:tcPr>
          <w:p w14:paraId="31BE56C6" w14:textId="7D97BE97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Transcription factor; angiogenesis and vascular response</w:t>
            </w:r>
          </w:p>
        </w:tc>
        <w:tc>
          <w:tcPr>
            <w:tcW w:w="2977" w:type="dxa"/>
            <w:vAlign w:val="center"/>
          </w:tcPr>
          <w:p w14:paraId="6E13BDFF" w14:textId="198C6B2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GO:0006357 regulation of transcription by RNA polymerase II</w:t>
            </w:r>
          </w:p>
        </w:tc>
        <w:tc>
          <w:tcPr>
            <w:tcW w:w="1984" w:type="dxa"/>
            <w:vAlign w:val="center"/>
          </w:tcPr>
          <w:p w14:paraId="066CD833" w14:textId="485D1C6D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GO:0003700 DNA-binding transcription factor activity</w:t>
            </w:r>
          </w:p>
        </w:tc>
        <w:tc>
          <w:tcPr>
            <w:tcW w:w="1843" w:type="dxa"/>
            <w:vAlign w:val="center"/>
          </w:tcPr>
          <w:p w14:paraId="18AEDA0C" w14:textId="380B86D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GO:0005634 (nucleoplasm)</w:t>
            </w:r>
          </w:p>
        </w:tc>
      </w:tr>
      <w:tr w:rsidR="005F6C8E" w14:paraId="75D284DE" w14:textId="77777777" w:rsidTr="003E1FF2">
        <w:tc>
          <w:tcPr>
            <w:tcW w:w="1277" w:type="dxa"/>
            <w:vAlign w:val="center"/>
          </w:tcPr>
          <w:p w14:paraId="35410802" w14:textId="6C5F0678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LEPROTL1</w:t>
            </w:r>
          </w:p>
        </w:tc>
        <w:tc>
          <w:tcPr>
            <w:tcW w:w="1701" w:type="dxa"/>
            <w:vAlign w:val="center"/>
          </w:tcPr>
          <w:p w14:paraId="1ADD0ECB" w14:textId="44E23F9F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leptin receptor overlapping transcript like 1</w:t>
            </w:r>
          </w:p>
        </w:tc>
        <w:tc>
          <w:tcPr>
            <w:tcW w:w="1559" w:type="dxa"/>
            <w:vAlign w:val="center"/>
          </w:tcPr>
          <w:p w14:paraId="2D8D41F6" w14:textId="570502E3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100861093</w:t>
            </w:r>
          </w:p>
        </w:tc>
        <w:tc>
          <w:tcPr>
            <w:tcW w:w="3544" w:type="dxa"/>
            <w:vAlign w:val="center"/>
          </w:tcPr>
          <w:p w14:paraId="1F284765" w14:textId="4177A5DC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Leptin receptor-related protein; growth hormone signaling and energy metabolism</w:t>
            </w:r>
          </w:p>
        </w:tc>
        <w:tc>
          <w:tcPr>
            <w:tcW w:w="2977" w:type="dxa"/>
            <w:vAlign w:val="center"/>
          </w:tcPr>
          <w:p w14:paraId="6747BD0A" w14:textId="3AF702C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GO:0060400 (negative regulation of growth hormone receptor signaling pathway)</w:t>
            </w:r>
          </w:p>
        </w:tc>
        <w:tc>
          <w:tcPr>
            <w:tcW w:w="1984" w:type="dxa"/>
            <w:vAlign w:val="center"/>
          </w:tcPr>
          <w:p w14:paraId="462C102F" w14:textId="37186661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GO:0005131 (growth hormone receptor binding)</w:t>
            </w:r>
          </w:p>
        </w:tc>
        <w:tc>
          <w:tcPr>
            <w:tcW w:w="1843" w:type="dxa"/>
            <w:vAlign w:val="center"/>
          </w:tcPr>
          <w:p w14:paraId="2375B5F7" w14:textId="2D403BC6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GO:0005768 (endosome)</w:t>
            </w:r>
          </w:p>
        </w:tc>
      </w:tr>
      <w:tr w:rsidR="005F6C8E" w14:paraId="47E5B386" w14:textId="77777777" w:rsidTr="003E1FF2">
        <w:tc>
          <w:tcPr>
            <w:tcW w:w="1277" w:type="dxa"/>
            <w:vAlign w:val="center"/>
          </w:tcPr>
          <w:p w14:paraId="62AD699D" w14:textId="14881B1D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MPO</w:t>
            </w:r>
          </w:p>
        </w:tc>
        <w:tc>
          <w:tcPr>
            <w:tcW w:w="1701" w:type="dxa"/>
            <w:vAlign w:val="center"/>
          </w:tcPr>
          <w:p w14:paraId="31B991B7" w14:textId="36AF9FBD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myeloperoxidase</w:t>
            </w:r>
          </w:p>
        </w:tc>
        <w:tc>
          <w:tcPr>
            <w:tcW w:w="1559" w:type="dxa"/>
            <w:vAlign w:val="center"/>
          </w:tcPr>
          <w:p w14:paraId="3717DF9D" w14:textId="764CB23A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102185772</w:t>
            </w:r>
          </w:p>
        </w:tc>
        <w:tc>
          <w:tcPr>
            <w:tcW w:w="3544" w:type="dxa"/>
            <w:vAlign w:val="center"/>
          </w:tcPr>
          <w:p w14:paraId="29EA647A" w14:textId="2622BE4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Myeloperoxidase; innate immunity and inflammatory response</w:t>
            </w:r>
          </w:p>
        </w:tc>
        <w:tc>
          <w:tcPr>
            <w:tcW w:w="2977" w:type="dxa"/>
            <w:vAlign w:val="center"/>
          </w:tcPr>
          <w:p w14:paraId="201D5904" w14:textId="313300DC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GO:0006955 (immune response)</w:t>
            </w:r>
          </w:p>
        </w:tc>
        <w:tc>
          <w:tcPr>
            <w:tcW w:w="1984" w:type="dxa"/>
            <w:vAlign w:val="center"/>
          </w:tcPr>
          <w:p w14:paraId="20ECA6E0" w14:textId="3E1C567A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GO:0004601 (peroxidase activity and GO:0020037 heme binding)</w:t>
            </w:r>
          </w:p>
        </w:tc>
        <w:tc>
          <w:tcPr>
            <w:tcW w:w="1843" w:type="dxa"/>
            <w:vAlign w:val="center"/>
          </w:tcPr>
          <w:p w14:paraId="31CAB099" w14:textId="1441DCB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GO:0005615 (extracellular space)</w:t>
            </w:r>
          </w:p>
        </w:tc>
      </w:tr>
      <w:tr w:rsidR="005F6C8E" w:rsidRPr="002467AD" w14:paraId="5DF3A8DC" w14:textId="77777777" w:rsidTr="003E1FF2">
        <w:tc>
          <w:tcPr>
            <w:tcW w:w="1277" w:type="dxa"/>
            <w:vAlign w:val="center"/>
          </w:tcPr>
          <w:p w14:paraId="522502A1" w14:textId="4484E234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IZUMO1R</w:t>
            </w:r>
          </w:p>
        </w:tc>
        <w:tc>
          <w:tcPr>
            <w:tcW w:w="1701" w:type="dxa"/>
            <w:vAlign w:val="center"/>
          </w:tcPr>
          <w:p w14:paraId="70E2CA5B" w14:textId="0A8FDB7F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IZUMO1 receptor, JUNO</w:t>
            </w:r>
          </w:p>
        </w:tc>
        <w:tc>
          <w:tcPr>
            <w:tcW w:w="1559" w:type="dxa"/>
            <w:vAlign w:val="center"/>
          </w:tcPr>
          <w:p w14:paraId="4779E62A" w14:textId="775E4D42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102189499</w:t>
            </w:r>
          </w:p>
        </w:tc>
        <w:tc>
          <w:tcPr>
            <w:tcW w:w="3544" w:type="dxa"/>
            <w:vAlign w:val="center"/>
          </w:tcPr>
          <w:p w14:paraId="2A7FC2AF" w14:textId="1DEA0C46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Sperm-egg fusion receptor; essential for fertilization</w:t>
            </w:r>
          </w:p>
        </w:tc>
        <w:tc>
          <w:tcPr>
            <w:tcW w:w="2977" w:type="dxa"/>
            <w:vAlign w:val="center"/>
          </w:tcPr>
          <w:p w14:paraId="025C7CDC" w14:textId="0CB4CCF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GO:0007342 (binding of sperm to zona pellucida)</w:t>
            </w:r>
          </w:p>
        </w:tc>
        <w:tc>
          <w:tcPr>
            <w:tcW w:w="1984" w:type="dxa"/>
            <w:vAlign w:val="center"/>
          </w:tcPr>
          <w:p w14:paraId="312EA9C3" w14:textId="602E6BD9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GO:0038023 (signaling receptor activity)</w:t>
            </w:r>
          </w:p>
        </w:tc>
        <w:tc>
          <w:tcPr>
            <w:tcW w:w="1843" w:type="dxa"/>
            <w:vAlign w:val="center"/>
          </w:tcPr>
          <w:p w14:paraId="66336D44" w14:textId="3DBD44C1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GO:0009897 (external side of plasma membrane)</w:t>
            </w:r>
          </w:p>
        </w:tc>
      </w:tr>
      <w:tr w:rsidR="005F6C8E" w:rsidRPr="002467AD" w14:paraId="769F0C60" w14:textId="77777777" w:rsidTr="003E1FF2">
        <w:tc>
          <w:tcPr>
            <w:tcW w:w="1277" w:type="dxa"/>
            <w:vAlign w:val="center"/>
          </w:tcPr>
          <w:p w14:paraId="67A1F3FC" w14:textId="38E6C759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WAC</w:t>
            </w:r>
          </w:p>
        </w:tc>
        <w:tc>
          <w:tcPr>
            <w:tcW w:w="1701" w:type="dxa"/>
            <w:vAlign w:val="center"/>
          </w:tcPr>
          <w:p w14:paraId="4B19F23F" w14:textId="4BE455B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WW domain containing adaptor with coiled-coil</w:t>
            </w:r>
          </w:p>
        </w:tc>
        <w:tc>
          <w:tcPr>
            <w:tcW w:w="1559" w:type="dxa"/>
            <w:vAlign w:val="center"/>
          </w:tcPr>
          <w:p w14:paraId="3D6F43B6" w14:textId="77C6D648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102191629</w:t>
            </w:r>
          </w:p>
        </w:tc>
        <w:tc>
          <w:tcPr>
            <w:tcW w:w="3544" w:type="dxa"/>
            <w:vAlign w:val="center"/>
          </w:tcPr>
          <w:p w14:paraId="70857B60" w14:textId="36E59D8A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Regulator of transcription and stress response pathways</w:t>
            </w:r>
          </w:p>
        </w:tc>
        <w:tc>
          <w:tcPr>
            <w:tcW w:w="2977" w:type="dxa"/>
            <w:vAlign w:val="center"/>
          </w:tcPr>
          <w:p w14:paraId="4BDAFF0C" w14:textId="0F27FFC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GO:0010506 (regulation of autophagy)</w:t>
            </w:r>
          </w:p>
        </w:tc>
        <w:tc>
          <w:tcPr>
            <w:tcW w:w="1984" w:type="dxa"/>
            <w:vAlign w:val="center"/>
          </w:tcPr>
          <w:p w14:paraId="2B773BDD" w14:textId="6FEC4264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GO:0000993 (RNA polymerase II complex binding)</w:t>
            </w:r>
          </w:p>
        </w:tc>
        <w:tc>
          <w:tcPr>
            <w:tcW w:w="1843" w:type="dxa"/>
            <w:vAlign w:val="center"/>
          </w:tcPr>
          <w:p w14:paraId="18405239" w14:textId="210365A6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GO:0009897 (external side of plasma membrane)</w:t>
            </w:r>
          </w:p>
        </w:tc>
      </w:tr>
      <w:tr w:rsidR="005F6C8E" w14:paraId="0AC956F9" w14:textId="77777777" w:rsidTr="003E1FF2"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4EAABD81" w14:textId="087A6EBD" w:rsidR="005F6C8E" w:rsidRPr="002467AD" w:rsidRDefault="005F6C8E" w:rsidP="005F6C8E">
            <w:pPr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  <w:lang w:val="en-US"/>
              </w:rPr>
            </w:pPr>
            <w:r w:rsidRPr="002467AD">
              <w:rPr>
                <w:rFonts w:ascii="Times New Roman" w:hAnsi="Times New Roman" w:cs="Times New Roman"/>
                <w:i/>
                <w:iCs/>
                <w:color w:val="000000"/>
                <w:sz w:val="19"/>
                <w:szCs w:val="19"/>
              </w:rPr>
              <w:t>LPO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734D6CF" w14:textId="11B8A792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lactoperoxidase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21679E" w14:textId="22178B5C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100860761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4990D684" w14:textId="21D9953F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proofErr w:type="spellStart"/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Lactoperoxidase</w:t>
            </w:r>
            <w:proofErr w:type="spellEnd"/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; innate immunity and oxidative defense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4824FAE" w14:textId="0C8CBCFB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GO:0006979 (response to oxidative stress)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637BC3A" w14:textId="55BBD902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GO:0036393(thiocyanate peroxidase activity)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33CB3C5" w14:textId="1A5F5A5D" w:rsidR="005F6C8E" w:rsidRPr="003E1FF2" w:rsidRDefault="005F6C8E" w:rsidP="005F6C8E">
            <w:pPr>
              <w:jc w:val="center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3E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GO:0005634 (nucleus)</w:t>
            </w:r>
          </w:p>
        </w:tc>
      </w:tr>
    </w:tbl>
    <w:p w14:paraId="0711B954" w14:textId="77777777" w:rsidR="005F6C8E" w:rsidRPr="005F6C8E" w:rsidRDefault="005F6C8E" w:rsidP="005F6C8E">
      <w:pPr>
        <w:rPr>
          <w:lang w:val="en-US"/>
        </w:rPr>
      </w:pPr>
    </w:p>
    <w:sectPr w:rsidR="005F6C8E" w:rsidRPr="005F6C8E" w:rsidSect="005F6C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B"/>
    <w:rsid w:val="00027C21"/>
    <w:rsid w:val="0005327F"/>
    <w:rsid w:val="002467AD"/>
    <w:rsid w:val="002774C0"/>
    <w:rsid w:val="003256BE"/>
    <w:rsid w:val="003E1FF2"/>
    <w:rsid w:val="004831CB"/>
    <w:rsid w:val="005E3288"/>
    <w:rsid w:val="005F6C8E"/>
    <w:rsid w:val="006B284E"/>
    <w:rsid w:val="007A7152"/>
    <w:rsid w:val="00882ECB"/>
    <w:rsid w:val="00BB2460"/>
    <w:rsid w:val="00EB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6F752"/>
  <w15:chartTrackingRefBased/>
  <w15:docId w15:val="{BEF8294A-F713-409C-9C05-720C0D61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31CB"/>
    <w:pPr>
      <w:widowControl w:val="0"/>
      <w:spacing w:after="0" w:line="360" w:lineRule="auto"/>
    </w:pPr>
    <w:rPr>
      <w:rFonts w:ascii="Arial" w:hAnsi="Arial" w:cs="Arial"/>
      <w:kern w:val="0"/>
      <w:sz w:val="24"/>
      <w:szCs w:val="24"/>
      <w:lang w:eastAsia="pt-BR"/>
      <w14:ligatures w14:val="none"/>
    </w:rPr>
  </w:style>
  <w:style w:type="paragraph" w:styleId="1">
    <w:name w:val="heading 1"/>
    <w:basedOn w:val="a"/>
    <w:next w:val="a"/>
    <w:link w:val="10"/>
    <w:qFormat/>
    <w:rsid w:val="002774C0"/>
    <w:pPr>
      <w:keepNext/>
      <w:widowControl/>
      <w:spacing w:line="240" w:lineRule="auto"/>
      <w:jc w:val="both"/>
      <w:outlineLvl w:val="0"/>
    </w:pPr>
    <w:rPr>
      <w:rFonts w:ascii="Times New Roman" w:eastAsia="Times New Roman" w:hAnsi="Times New Roman" w:cs="Times New Roman"/>
      <w:b/>
      <w:lang w:val="pt-PT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2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2EC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2EC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2EC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2EC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2EC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2EC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2EC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  <w:rsid w:val="004831CB"/>
  </w:style>
  <w:style w:type="character" w:customStyle="1" w:styleId="10">
    <w:name w:val="标题 1 字符"/>
    <w:basedOn w:val="a0"/>
    <w:link w:val="1"/>
    <w:rsid w:val="002774C0"/>
    <w:rPr>
      <w:rFonts w:ascii="Times New Roman" w:eastAsia="Times New Roman" w:hAnsi="Times New Roman" w:cs="Times New Roman"/>
      <w:b/>
      <w:kern w:val="0"/>
      <w:sz w:val="24"/>
      <w:szCs w:val="24"/>
      <w:lang w:val="pt-PT" w:eastAsia="pt-BR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882EC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882ECB"/>
    <w:rPr>
      <w:rFonts w:eastAsiaTheme="majorEastAsia" w:cstheme="majorBidi"/>
      <w:color w:val="2F5496" w:themeColor="accent1" w:themeShade="BF"/>
      <w:kern w:val="0"/>
      <w:sz w:val="28"/>
      <w:szCs w:val="28"/>
      <w:lang w:eastAsia="pt-BR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882ECB"/>
    <w:rPr>
      <w:rFonts w:eastAsiaTheme="majorEastAsia" w:cstheme="majorBidi"/>
      <w:i/>
      <w:iCs/>
      <w:color w:val="2F5496" w:themeColor="accent1" w:themeShade="BF"/>
      <w:kern w:val="0"/>
      <w:sz w:val="24"/>
      <w:szCs w:val="24"/>
      <w:lang w:eastAsia="pt-BR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882ECB"/>
    <w:rPr>
      <w:rFonts w:eastAsiaTheme="majorEastAsia" w:cstheme="majorBidi"/>
      <w:color w:val="2F5496" w:themeColor="accent1" w:themeShade="BF"/>
      <w:kern w:val="0"/>
      <w:sz w:val="24"/>
      <w:szCs w:val="24"/>
      <w:lang w:eastAsia="pt-BR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882ECB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pt-BR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882ECB"/>
    <w:rPr>
      <w:rFonts w:eastAsiaTheme="majorEastAsia" w:cstheme="majorBidi"/>
      <w:color w:val="595959" w:themeColor="text1" w:themeTint="A6"/>
      <w:kern w:val="0"/>
      <w:sz w:val="24"/>
      <w:szCs w:val="24"/>
      <w:lang w:eastAsia="pt-BR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882ECB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pt-BR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882ECB"/>
    <w:rPr>
      <w:rFonts w:eastAsiaTheme="majorEastAsia" w:cstheme="majorBidi"/>
      <w:color w:val="272727" w:themeColor="text1" w:themeTint="D8"/>
      <w:kern w:val="0"/>
      <w:sz w:val="24"/>
      <w:szCs w:val="24"/>
      <w:lang w:eastAsia="pt-BR"/>
      <w14:ligatures w14:val="none"/>
    </w:rPr>
  </w:style>
  <w:style w:type="paragraph" w:styleId="a4">
    <w:name w:val="Title"/>
    <w:basedOn w:val="a"/>
    <w:next w:val="a"/>
    <w:link w:val="a5"/>
    <w:uiPriority w:val="10"/>
    <w:qFormat/>
    <w:rsid w:val="00882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882ECB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  <w14:ligatures w14:val="none"/>
    </w:rPr>
  </w:style>
  <w:style w:type="paragraph" w:styleId="a6">
    <w:name w:val="Subtitle"/>
    <w:basedOn w:val="a"/>
    <w:next w:val="a"/>
    <w:link w:val="a7"/>
    <w:uiPriority w:val="11"/>
    <w:qFormat/>
    <w:rsid w:val="00882EC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882EC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t-BR"/>
      <w14:ligatures w14:val="none"/>
    </w:rPr>
  </w:style>
  <w:style w:type="paragraph" w:styleId="a8">
    <w:name w:val="Quote"/>
    <w:basedOn w:val="a"/>
    <w:next w:val="a"/>
    <w:link w:val="a9"/>
    <w:uiPriority w:val="29"/>
    <w:qFormat/>
    <w:rsid w:val="00882E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882ECB"/>
    <w:rPr>
      <w:rFonts w:ascii="Arial" w:hAnsi="Arial" w:cs="Arial"/>
      <w:i/>
      <w:iCs/>
      <w:color w:val="404040" w:themeColor="text1" w:themeTint="BF"/>
      <w:kern w:val="0"/>
      <w:sz w:val="24"/>
      <w:szCs w:val="24"/>
      <w:lang w:eastAsia="pt-BR"/>
      <w14:ligatures w14:val="none"/>
    </w:rPr>
  </w:style>
  <w:style w:type="paragraph" w:styleId="aa">
    <w:name w:val="List Paragraph"/>
    <w:basedOn w:val="a"/>
    <w:uiPriority w:val="34"/>
    <w:qFormat/>
    <w:rsid w:val="00882ECB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882EC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82E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882ECB"/>
    <w:rPr>
      <w:rFonts w:ascii="Arial" w:hAnsi="Arial" w:cs="Arial"/>
      <w:i/>
      <w:iCs/>
      <w:color w:val="2F5496" w:themeColor="accent1" w:themeShade="BF"/>
      <w:kern w:val="0"/>
      <w:sz w:val="24"/>
      <w:szCs w:val="24"/>
      <w:lang w:eastAsia="pt-BR"/>
      <w14:ligatures w14:val="none"/>
    </w:rPr>
  </w:style>
  <w:style w:type="character" w:styleId="ae">
    <w:name w:val="Intense Reference"/>
    <w:basedOn w:val="a0"/>
    <w:uiPriority w:val="32"/>
    <w:qFormat/>
    <w:rsid w:val="00882ECB"/>
    <w:rPr>
      <w:b/>
      <w:bCs/>
      <w:smallCaps/>
      <w:color w:val="2F5496" w:themeColor="accent1" w:themeShade="BF"/>
      <w:spacing w:val="5"/>
    </w:rPr>
  </w:style>
  <w:style w:type="table" w:styleId="af">
    <w:name w:val="Table Grid"/>
    <w:basedOn w:val="a1"/>
    <w:uiPriority w:val="39"/>
    <w:rsid w:val="005F6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Layonel Alves</dc:creator>
  <cp:keywords/>
  <dc:description/>
  <cp:lastModifiedBy>Erin Hee</cp:lastModifiedBy>
  <cp:revision>4</cp:revision>
  <dcterms:created xsi:type="dcterms:W3CDTF">2025-09-01T17:12:00Z</dcterms:created>
  <dcterms:modified xsi:type="dcterms:W3CDTF">2026-05-09T05:36:00Z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ba4c5288-a294-4b58-9f6e-69a1e8a0a330</vt:lpwstr>
  </property>
</Properties>
</file>